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640" w:firstLineChars="200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  <w:r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（卫星整体/专项设计和制造）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设计方案报告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概述（对提出问题的简单描述）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设计/技术思路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主要设计内容（列条目）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设计/技术指标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产品组成（若有）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设计方案/技术方案(如原理、公式、模型、算法、方法、技术路径、软件设计等)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验证结果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指标符合性分析说明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  <w:p>
            <w:pPr>
              <w:pStyle w:val="27"/>
              <w:numPr>
                <w:ilvl w:val="0"/>
                <w:numId w:val="2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</w:t>
            </w:r>
          </w:p>
          <w:p>
            <w:pPr>
              <w:pStyle w:val="27"/>
              <w:adjustRightInd w:val="0"/>
              <w:snapToGrid w:val="0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引用和参考文献</w:t>
            </w:r>
          </w:p>
          <w:p>
            <w:pPr>
              <w:pStyle w:val="27"/>
              <w:adjustRightInd w:val="0"/>
              <w:snapToGrid w:val="0"/>
              <w:ind w:left="1080" w:firstLine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0.2 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涉及的知识产权列表</w:t>
            </w:r>
          </w:p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验证方案报告</w:t>
            </w:r>
          </w:p>
          <w:p>
            <w:pPr>
              <w:pStyle w:val="27"/>
              <w:numPr>
                <w:ilvl w:val="0"/>
                <w:numId w:val="3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概述（目的）</w:t>
            </w:r>
          </w:p>
          <w:p>
            <w:pPr>
              <w:pStyle w:val="27"/>
              <w:numPr>
                <w:ilvl w:val="0"/>
                <w:numId w:val="3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验证系统概述（软件、硬件组成和主要参数等）</w:t>
            </w:r>
          </w:p>
          <w:p>
            <w:pPr>
              <w:pStyle w:val="27"/>
              <w:numPr>
                <w:ilvl w:val="0"/>
                <w:numId w:val="3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验证方案（设计约束、连接方式、验证方法、验证步骤等）</w:t>
            </w:r>
          </w:p>
          <w:p>
            <w:pPr>
              <w:pStyle w:val="27"/>
              <w:numPr>
                <w:ilvl w:val="0"/>
                <w:numId w:val="3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验证数据及结果分析</w:t>
            </w:r>
          </w:p>
          <w:p>
            <w:pPr>
              <w:pStyle w:val="27"/>
              <w:numPr>
                <w:ilvl w:val="0"/>
                <w:numId w:val="3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附录(其它需要说明的内容</w:t>
            </w:r>
            <w:r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经济效益评估</w:t>
            </w:r>
          </w:p>
          <w:p>
            <w:pPr>
              <w:pStyle w:val="27"/>
              <w:numPr>
                <w:ilvl w:val="0"/>
                <w:numId w:val="4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投产成本评估(自行列表说明设计费、材料费、外协费、制造和测试设备费用、其它费用等)</w:t>
            </w:r>
          </w:p>
          <w:p>
            <w:pPr>
              <w:pStyle w:val="27"/>
              <w:numPr>
                <w:ilvl w:val="0"/>
                <w:numId w:val="4"/>
              </w:numPr>
              <w:adjustRightInd w:val="0"/>
              <w:snapToGrid w:val="0"/>
              <w:rPr>
                <w:rFonts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  <w:t>预期效益评估(预计创造经济价值或预计节省费用，按年度或规模说明)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7-2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  <w:r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（新型空间探测载荷）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7-3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  <w:r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（卫星星座设计技术的新发展和应用）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三、设计方案（说明方案的设计约束、方案的原理、方法、技术路径、关键技术）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四、方案详细说明（包括方案的性能指标、对卫星平台的约束要求、软件模块及信息流程。可以附上方案设计图、信息流程图等，可以另附页）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7-4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卫星设计组参赛作品说明文档</w:t>
      </w:r>
      <w:r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（高效卫星轨道设计）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522" w:type="dxa"/>
          </w:tcPr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作品简介（200字以内介绍本作品）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二、选题目的（说明方案的设计约束、方案的原理、方法、技术路径、关键技术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三、设计方案（说明设计约束、方案的原理、方法、技术路径、关键技术）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四、方案详细说明（包括轨道设计的动力学模型、方案的性能指标、方案的优化、仿真分析等。可以附上方案设计图、信息流程图等，可以另附页）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五、特色与创新点（说明参赛作品的特色、先进性与创新点，突出方案的新颖和重要性）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E5D7F"/>
    <w:multiLevelType w:val="multilevel"/>
    <w:tmpl w:val="344E5D7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">
    <w:nsid w:val="4DD949AF"/>
    <w:multiLevelType w:val="multilevel"/>
    <w:tmpl w:val="4DD949AF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6E6561A5"/>
    <w:multiLevelType w:val="multilevel"/>
    <w:tmpl w:val="6E6561A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A95C7A"/>
    <w:multiLevelType w:val="multilevel"/>
    <w:tmpl w:val="73A95C7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1EFC1508"/>
    <w:rsid w:val="21E140A1"/>
    <w:rsid w:val="498615B1"/>
    <w:rsid w:val="51785239"/>
    <w:rsid w:val="54071B43"/>
    <w:rsid w:val="69FB3DEF"/>
    <w:rsid w:val="7CC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1</Pages>
  <Words>249</Words>
  <Characters>254</Characters>
  <Lines>112</Lines>
  <Paragraphs>31</Paragraphs>
  <TotalTime>53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2023-02-01T01:31:02Z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80EA1710640949689F241DFDC0C44C92</vt:lpwstr>
  </property>
</Properties>
</file>