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8EFA">
      <w:pPr>
        <w:widowControl w:val="0"/>
        <w:spacing w:before="0" w:beforeAutospacing="0" w:after="0" w:afterAutospacing="0" w:line="680" w:lineRule="exact"/>
        <w:ind w:left="0" w:right="0"/>
        <w:jc w:val="both"/>
        <w:rPr>
          <w:rFonts w:hint="default" w:ascii="华文中宋" w:hAnsi="华文中宋" w:eastAsia="华文中宋" w:cs="华文中宋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 w14:paraId="2EFCFB13">
      <w:pPr>
        <w:widowControl w:val="0"/>
        <w:spacing w:before="0" w:beforeAutospacing="0" w:after="0" w:afterAutospacing="0" w:line="680" w:lineRule="exact"/>
        <w:ind w:left="0" w:right="0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auto"/>
          <w:kern w:val="2"/>
          <w:sz w:val="36"/>
          <w:szCs w:val="36"/>
          <w:lang w:val="en-US" w:eastAsia="zh-CN" w:bidi="ar-SA"/>
        </w:rPr>
        <w:t>第九届“生命线”征文活动通知</w:t>
      </w:r>
    </w:p>
    <w:bookmarkEnd w:id="0"/>
    <w:p w14:paraId="39F75132">
      <w:pPr>
        <w:widowControl w:val="0"/>
        <w:spacing w:before="0" w:beforeAutospacing="0" w:after="0" w:afterAutospacing="0" w:line="380" w:lineRule="exact"/>
        <w:ind w:left="0" w:right="0"/>
        <w:jc w:val="both"/>
        <w:rPr>
          <w:b/>
          <w:lang w:val="en-US"/>
        </w:rPr>
      </w:pPr>
    </w:p>
    <w:p w14:paraId="489BE892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  <w:t>为配合中国测绘学会地下管线专业委员会202</w:t>
      </w: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  <w:t>年年会召开，经研究决定开展第</w:t>
      </w: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九</w:t>
      </w:r>
      <w:r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  <w:t>届“生命线”征文活动，现将具体事宜通知如下：</w:t>
      </w:r>
    </w:p>
    <w:p w14:paraId="211BE751">
      <w:pPr>
        <w:widowControl w:val="0"/>
        <w:spacing w:before="0" w:beforeAutospacing="0" w:after="0" w:afterAutospacing="0" w:line="380" w:lineRule="exact"/>
        <w:ind w:left="0" w:right="0"/>
        <w:jc w:val="both"/>
        <w:rPr>
          <w:rFonts w:eastAsia="Times New Roman" w:cs="Calibri"/>
          <w:b/>
          <w:lang w:val="en-US"/>
        </w:rPr>
      </w:pP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一、期刊简介</w:t>
      </w:r>
    </w:p>
    <w:p w14:paraId="29DC87DA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 xml:space="preserve">     </w:t>
      </w:r>
      <w:r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  <w:t>《</w:t>
      </w: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上海城市发展</w:t>
      </w:r>
      <w:r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  <w:t>》创刊于19</w:t>
      </w: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99</w:t>
      </w:r>
      <w:r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  <w:t>年，</w:t>
      </w: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是一份专业研究城市发展理论与实践的大型综合性刊物。</w:t>
      </w:r>
    </w:p>
    <w:p w14:paraId="42C87BE0">
      <w:pPr>
        <w:widowControl w:val="0"/>
        <w:spacing w:before="0" w:beforeAutospacing="0" w:after="0" w:afterAutospacing="0" w:line="380" w:lineRule="exact"/>
        <w:ind w:right="0" w:firstLine="420" w:firstLineChars="200"/>
        <w:jc w:val="both"/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主管：上海市住房和城乡建设管理委员会</w:t>
      </w:r>
    </w:p>
    <w:p w14:paraId="57DEB39D">
      <w:pPr>
        <w:widowControl w:val="0"/>
        <w:spacing w:before="0" w:beforeAutospacing="0" w:after="0" w:afterAutospacing="0" w:line="380" w:lineRule="exact"/>
        <w:ind w:right="0" w:firstLine="420" w:firstLineChars="200"/>
        <w:jc w:val="both"/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主办：上海市城乡建设和交通发展研究院</w:t>
      </w:r>
    </w:p>
    <w:p w14:paraId="4DF87EDE">
      <w:pPr>
        <w:widowControl w:val="0"/>
        <w:spacing w:before="0" w:beforeAutospacing="0" w:after="0" w:afterAutospacing="0" w:line="380" w:lineRule="exact"/>
        <w:ind w:right="0" w:firstLine="420" w:firstLineChars="200"/>
        <w:jc w:val="both"/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 xml:space="preserve">      上海城投（集团）有限公司</w:t>
      </w:r>
    </w:p>
    <w:p w14:paraId="62E1B4D7">
      <w:pPr>
        <w:widowControl w:val="0"/>
        <w:spacing w:before="0" w:beforeAutospacing="0" w:after="0" w:afterAutospacing="0" w:line="380" w:lineRule="exact"/>
        <w:ind w:right="0" w:firstLine="420" w:firstLineChars="200"/>
        <w:jc w:val="both"/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 xml:space="preserve">      上海市城市经济学会</w:t>
      </w:r>
    </w:p>
    <w:p w14:paraId="30C215D2">
      <w:pPr>
        <w:widowControl w:val="0"/>
        <w:spacing w:before="0" w:beforeAutospacing="0" w:after="0" w:afterAutospacing="0" w:line="380" w:lineRule="exact"/>
        <w:ind w:right="0" w:firstLine="420" w:firstLineChars="200"/>
        <w:jc w:val="both"/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社长：江绵康</w:t>
      </w:r>
    </w:p>
    <w:p w14:paraId="0A086F83">
      <w:pPr>
        <w:widowControl w:val="0"/>
        <w:spacing w:before="0" w:beforeAutospacing="0" w:after="0" w:afterAutospacing="0" w:line="380" w:lineRule="exact"/>
        <w:ind w:right="0" w:firstLine="420" w:firstLineChars="200"/>
        <w:jc w:val="both"/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仿宋_GB2312"/>
          <w:color w:val="auto"/>
          <w:kern w:val="0"/>
          <w:sz w:val="21"/>
          <w:szCs w:val="21"/>
          <w:lang w:val="en-US" w:eastAsia="zh-CN" w:bidi="ar-SA"/>
        </w:rPr>
        <w:t>副社长：姚仲华、王志强</w:t>
      </w:r>
    </w:p>
    <w:p w14:paraId="16610DE1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宋体" w:eastAsia="宋体" w:cs="仿宋_GB2312"/>
          <w:color w:val="auto"/>
          <w:kern w:val="0"/>
          <w:sz w:val="21"/>
          <w:szCs w:val="21"/>
          <w:lang w:val="en-US" w:eastAsia="zh-CN" w:bidi="ar-SA"/>
        </w:rPr>
      </w:pPr>
    </w:p>
    <w:p w14:paraId="581983D4">
      <w:pPr>
        <w:widowControl w:val="0"/>
        <w:spacing w:before="0" w:beforeAutospacing="0" w:after="0" w:afterAutospacing="0" w:line="380" w:lineRule="exact"/>
        <w:ind w:left="0" w:right="0"/>
        <w:jc w:val="both"/>
        <w:rPr>
          <w:rFonts w:eastAsia="Times New Roman" w:cs="Calibri"/>
          <w:b/>
          <w:lang w:val="en-US"/>
        </w:rPr>
      </w:pP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二、征文内容</w:t>
      </w:r>
    </w:p>
    <w:p w14:paraId="31F521C3">
      <w:pPr>
        <w:widowControl w:val="0"/>
        <w:spacing w:before="0" w:beforeAutospacing="0" w:after="0" w:afterAutospacing="0" w:line="380" w:lineRule="exact"/>
        <w:ind w:left="0" w:right="0" w:firstLine="420"/>
        <w:jc w:val="both"/>
        <w:rPr>
          <w:rFonts w:hint="eastAsia" w:ascii="宋体" w:hAnsi="宋体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1、管理类</w:t>
      </w:r>
    </w:p>
    <w:p w14:paraId="6024BA61">
      <w:pPr>
        <w:widowControl w:val="0"/>
        <w:spacing w:before="0" w:beforeAutospacing="0" w:after="0" w:afterAutospacing="0" w:line="380" w:lineRule="exact"/>
        <w:ind w:left="0" w:right="0" w:firstLine="420"/>
        <w:jc w:val="both"/>
        <w:rPr>
          <w:rFonts w:hint="eastAsia" w:ascii="宋体" w:hAnsi="宋体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（</w:t>
      </w:r>
      <w:r>
        <w:rPr>
          <w:rFonts w:hint="eastAsia" w:ascii="宋体" w:hAnsi="宋体" w:eastAsia="宋体" w:cs="TimesNewRomanPSMT"/>
          <w:color w:val="auto"/>
          <w:kern w:val="0"/>
          <w:sz w:val="21"/>
          <w:szCs w:val="2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）地下管线政策法规的制定与实施；（</w:t>
      </w:r>
      <w:r>
        <w:rPr>
          <w:rFonts w:hint="eastAsia" w:ascii="宋体" w:hAnsi="宋体" w:eastAsia="宋体" w:cs="TimesNewRomanPSMT"/>
          <w:color w:val="auto"/>
          <w:kern w:val="0"/>
          <w:sz w:val="21"/>
          <w:szCs w:val="20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）地下管线综合管理体制与机制；（</w:t>
      </w:r>
      <w:r>
        <w:rPr>
          <w:rFonts w:hint="eastAsia" w:ascii="宋体" w:hAnsi="宋体" w:eastAsia="宋体" w:cs="TimesNewRomanPSMT"/>
          <w:color w:val="auto"/>
          <w:kern w:val="0"/>
          <w:sz w:val="21"/>
          <w:szCs w:val="20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）地下管线投融资体制机制改革；（4）碳达峰碳中和、老旧小区改造、传统基建和新基建等相关地下管线政策研究与分析；（5）城市更新之老旧管网改造；（6）城市地下管线体检与安全运行；（</w:t>
      </w:r>
      <w:r>
        <w:rPr>
          <w:rFonts w:hint="eastAsia" w:ascii="宋体" w:hAnsi="宋体" w:eastAsia="宋体" w:cs="TimesNewRomanPSMT"/>
          <w:color w:val="auto"/>
          <w:kern w:val="0"/>
          <w:sz w:val="21"/>
          <w:szCs w:val="20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）地下管线信息共享与挖掘管理机制探讨；（</w:t>
      </w:r>
      <w:r>
        <w:rPr>
          <w:rFonts w:hint="eastAsia" w:ascii="宋体" w:hAnsi="宋体" w:eastAsia="宋体" w:cs="TimesNewRomanPSMT"/>
          <w:color w:val="auto"/>
          <w:kern w:val="0"/>
          <w:sz w:val="21"/>
          <w:szCs w:val="20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）地下管线动态更新机制；（</w:t>
      </w:r>
      <w:r>
        <w:rPr>
          <w:rFonts w:hint="eastAsia" w:ascii="宋体" w:hAnsi="宋体" w:eastAsia="宋体" w:cs="TimesNewRomanPSMT"/>
          <w:color w:val="auto"/>
          <w:kern w:val="0"/>
          <w:sz w:val="21"/>
          <w:szCs w:val="20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）地下管线隐患排查管理与实施；（10）技术标准体系研究与技术标准的制定与实施；（11）工程造价与定额编制；（12）市政基础设施普查；（13）管线规划审批管理；（14）管线类企业资质和岗位资格管理；（15）其他。</w:t>
      </w:r>
    </w:p>
    <w:p w14:paraId="07945943">
      <w:pPr>
        <w:widowControl w:val="0"/>
        <w:spacing w:before="0" w:beforeAutospacing="0" w:after="0" w:afterAutospacing="0" w:line="380" w:lineRule="exact"/>
        <w:ind w:left="0" w:right="0" w:firstLine="420"/>
        <w:jc w:val="both"/>
        <w:rPr>
          <w:rFonts w:hint="eastAsia" w:ascii="宋体" w:hAnsi="宋体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2、技术类</w:t>
      </w:r>
    </w:p>
    <w:p w14:paraId="24672E5B">
      <w:pPr>
        <w:widowControl w:val="0"/>
        <w:spacing w:before="0" w:beforeAutospacing="0" w:after="0" w:afterAutospacing="0" w:line="380" w:lineRule="exact"/>
        <w:ind w:left="0" w:right="0" w:firstLine="420"/>
        <w:jc w:val="both"/>
        <w:rPr>
          <w:rFonts w:hint="eastAsia" w:ascii="宋体" w:hAnsi="宋体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（1）城市管网信息化管理与物联网技术；（</w:t>
      </w:r>
      <w:r>
        <w:rPr>
          <w:rFonts w:hint="eastAsia" w:ascii="宋体" w:hAnsi="宋体" w:eastAsia="宋体" w:cs="TimesNewRomanPSMT"/>
          <w:color w:val="auto"/>
          <w:kern w:val="0"/>
          <w:sz w:val="21"/>
          <w:szCs w:val="20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）地下管线大数据管理、应用；（</w:t>
      </w:r>
      <w:r>
        <w:rPr>
          <w:rFonts w:hint="eastAsia" w:ascii="宋体" w:hAnsi="宋体" w:eastAsia="宋体" w:cs="TimesNewRomanPSMT"/>
          <w:color w:val="auto"/>
          <w:kern w:val="0"/>
          <w:sz w:val="21"/>
          <w:szCs w:val="20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）人工智能、节能减排、区块链技术在管线领域的应用；（4）城市道路塌陷灾害与道路病害检测评估；（5）地下管线隐患排查及管网安全运行技术；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6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小区管网普查及改造；（7）地下管线精细探测技术；（8）地下管线规划核验测量与竣工测量技术；（9）排水管道清淤疏通、检测与评估；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10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）城市污染源调查、雨污混接调查及零直排项目；（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11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管道非开挖修复技术；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12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管道材料与管道修复材料研究；（13）城镇污水收集系统排查技术；（14）通沟污泥处置技术；（15）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供水管网产销差控制与管道漏损检测；（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16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）油气管道完整性检测与评估；（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17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）海绵城市建设与排水防涝设施运营维护；（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18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）综合管廊建设与运营维护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；（19）管道施工新方法、新技术应用；（20）地下管线电子信息标示系统应用技术；（21）泵、阀、表等管件机具新技术；（22）检查井测量与修复技术；（23）其他。</w:t>
      </w:r>
    </w:p>
    <w:p w14:paraId="0DAE599C">
      <w:pPr>
        <w:widowControl w:val="0"/>
        <w:autoSpaceDE w:val="0"/>
        <w:autoSpaceDN w:val="0"/>
        <w:adjustRightInd w:val="0"/>
        <w:spacing w:before="0" w:beforeAutospacing="0" w:after="0" w:afterAutospacing="0" w:line="380" w:lineRule="exact"/>
        <w:ind w:left="0" w:right="0"/>
        <w:jc w:val="left"/>
        <w:rPr>
          <w:rFonts w:hint="eastAsia" w:ascii="宋体" w:hAnsi="Times New Roman" w:eastAsia="宋体" w:cs="宋体"/>
          <w:b/>
          <w:kern w:val="0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2"/>
          <w:sz w:val="21"/>
          <w:szCs w:val="20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0"/>
          <w:lang w:val="en-US" w:eastAsia="zh-CN" w:bidi="ar-SA"/>
        </w:rPr>
        <w:t>评选方法</w:t>
      </w:r>
    </w:p>
    <w:p w14:paraId="0CE95284">
      <w:pPr>
        <w:widowControl w:val="0"/>
        <w:autoSpaceDE w:val="0"/>
        <w:autoSpaceDN w:val="0"/>
        <w:adjustRightInd w:val="0"/>
        <w:spacing w:before="0" w:beforeAutospacing="0" w:after="0" w:afterAutospacing="0" w:line="380" w:lineRule="exact"/>
        <w:ind w:left="0" w:right="0" w:firstLine="420" w:firstLineChars="200"/>
        <w:jc w:val="left"/>
        <w:rPr>
          <w:rFonts w:hint="eastAsia" w:ascii="宋体" w:hAnsi="Times New Roman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1、征文由专委会组织专家进行评审，评选出</w:t>
      </w:r>
      <w:r>
        <w:rPr>
          <w:rFonts w:hint="eastAsia" w:ascii="宋体" w:hAnsi="宋体" w:cs="宋体"/>
          <w:color w:val="auto"/>
          <w:kern w:val="0"/>
          <w:sz w:val="21"/>
          <w:szCs w:val="20"/>
          <w:lang w:val="en-US" w:eastAsia="zh-CN" w:bidi="ar-SA"/>
        </w:rPr>
        <w:t>高质量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论文1</w:t>
      </w:r>
      <w:r>
        <w:rPr>
          <w:rFonts w:hint="eastAsia" w:ascii="宋体" w:hAnsi="宋体" w:cs="宋体"/>
          <w:color w:val="auto"/>
          <w:kern w:val="0"/>
          <w:sz w:val="21"/>
          <w:szCs w:val="20"/>
          <w:lang w:val="en-US" w:eastAsia="zh-CN" w:bidi="ar-SA"/>
        </w:rPr>
        <w:t>0-15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篇；</w:t>
      </w:r>
    </w:p>
    <w:p w14:paraId="6FD78F20">
      <w:pPr>
        <w:widowControl w:val="0"/>
        <w:spacing w:before="0" w:beforeAutospacing="0" w:after="0" w:afterAutospacing="0" w:line="380" w:lineRule="exact"/>
        <w:ind w:left="0" w:right="0"/>
        <w:jc w:val="both"/>
        <w:rPr>
          <w:rFonts w:hint="eastAsia" w:ascii="宋体" w:hAnsi="宋体" w:eastAsia="宋体" w:cs="宋体"/>
          <w:b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2"/>
          <w:sz w:val="21"/>
          <w:szCs w:val="2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2、评选出的论文陆续在《</w:t>
      </w:r>
      <w:r>
        <w:rPr>
          <w:rFonts w:hint="eastAsia" w:ascii="宋体" w:hAnsi="宋体" w:cs="宋体"/>
          <w:color w:val="auto"/>
          <w:kern w:val="0"/>
          <w:sz w:val="21"/>
          <w:szCs w:val="20"/>
          <w:lang w:val="en-US" w:eastAsia="zh-CN" w:bidi="ar-SA"/>
        </w:rPr>
        <w:t>上海城市发展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》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（正刊）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上刊载。</w:t>
      </w:r>
    </w:p>
    <w:p w14:paraId="4B257753">
      <w:pPr>
        <w:widowControl w:val="0"/>
        <w:spacing w:before="0" w:beforeAutospacing="0" w:after="0" w:afterAutospacing="0" w:line="380" w:lineRule="exact"/>
        <w:ind w:left="0" w:right="0"/>
        <w:jc w:val="both"/>
        <w:rPr>
          <w:rFonts w:hint="eastAsia" w:ascii="宋体" w:hAnsi="Times New Roman" w:eastAsia="Times New Roman" w:cs="宋体"/>
          <w:b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2"/>
          <w:sz w:val="21"/>
          <w:szCs w:val="20"/>
          <w:lang w:val="en-US" w:eastAsia="zh-CN" w:bidi="ar-SA"/>
        </w:rPr>
        <w:t>四、几点说明</w:t>
      </w:r>
    </w:p>
    <w:p w14:paraId="4EEF6830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宋体" w:cs="宋体"/>
          <w:kern w:val="0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1、为扩大交流和提高论文质量，此次征文免收版面费；</w:t>
      </w:r>
    </w:p>
    <w:p w14:paraId="5911C215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2、征文由专委会组织专家进行评审，</w:t>
      </w:r>
      <w:r>
        <w:rPr>
          <w:rFonts w:hint="eastAsia" w:ascii="宋体" w:hAnsi="宋体" w:cs="宋体"/>
          <w:color w:val="auto"/>
          <w:kern w:val="0"/>
          <w:sz w:val="21"/>
          <w:szCs w:val="20"/>
          <w:lang w:val="en-US" w:eastAsia="zh-CN" w:bidi="ar-SA"/>
        </w:rPr>
        <w:t>高质量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论文陆续在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《</w:t>
      </w:r>
      <w:r>
        <w:rPr>
          <w:rFonts w:hint="eastAsia" w:ascii="宋体" w:hAnsi="宋体" w:cs="宋体"/>
          <w:color w:val="auto"/>
          <w:kern w:val="2"/>
          <w:sz w:val="21"/>
          <w:szCs w:val="20"/>
          <w:lang w:val="en-US" w:eastAsia="zh-CN" w:bidi="ar-SA"/>
        </w:rPr>
        <w:t>上海城市发展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》（正刊）上刊载，其他合格文章在《</w:t>
      </w:r>
      <w:r>
        <w:rPr>
          <w:rFonts w:hint="eastAsia" w:ascii="宋体" w:hAnsi="宋体" w:cs="宋体"/>
          <w:color w:val="auto"/>
          <w:kern w:val="2"/>
          <w:sz w:val="21"/>
          <w:szCs w:val="20"/>
          <w:lang w:val="en-US" w:eastAsia="zh-CN" w:bidi="ar-SA"/>
        </w:rPr>
        <w:t>上海城市发展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》以增刊方式刊载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；</w:t>
      </w:r>
    </w:p>
    <w:p w14:paraId="59C928CC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3、文章作者请自留底稿，征文选用与否均不退稿；</w:t>
      </w:r>
    </w:p>
    <w:p w14:paraId="23BA8C08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4、选用的</w:t>
      </w:r>
      <w:r>
        <w:rPr>
          <w:rFonts w:hint="eastAsia" w:ascii="宋体" w:hAnsi="宋体" w:cs="宋体"/>
          <w:color w:val="auto"/>
          <w:kern w:val="0"/>
          <w:sz w:val="21"/>
          <w:szCs w:val="20"/>
          <w:lang w:val="en-US" w:eastAsia="zh-CN" w:bidi="ar-SA"/>
        </w:rPr>
        <w:t>高质量</w:t>
      </w: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论文采取大会交流或书面交流两种形式；</w:t>
      </w:r>
    </w:p>
    <w:p w14:paraId="0ACA6D99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5、请作者将详细联系方式附在文后。</w:t>
      </w:r>
    </w:p>
    <w:p w14:paraId="3043EFCB">
      <w:pPr>
        <w:widowControl w:val="0"/>
        <w:spacing w:before="0" w:beforeAutospacing="0" w:after="0" w:afterAutospacing="0" w:line="380" w:lineRule="exact"/>
        <w:ind w:left="0" w:right="0"/>
        <w:jc w:val="both"/>
        <w:rPr>
          <w:rFonts w:hint="eastAsia" w:ascii="宋体" w:hAnsi="Times New Roman" w:eastAsia="Times New Roman" w:cs="宋体"/>
          <w:b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2"/>
          <w:sz w:val="21"/>
          <w:szCs w:val="20"/>
          <w:lang w:val="en-US" w:eastAsia="zh-CN" w:bidi="ar-SA"/>
        </w:rPr>
        <w:t>五、联系方式</w:t>
      </w:r>
    </w:p>
    <w:p w14:paraId="2D21C67F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单   位：中国测绘学会地下管线专业委员会</w:t>
      </w:r>
    </w:p>
    <w:p w14:paraId="1AAA04BA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 xml:space="preserve">地   址：北京市海淀区羊坊店东路21号，中国煤地大厦二层  </w:t>
      </w:r>
    </w:p>
    <w:p w14:paraId="26A01EF5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 xml:space="preserve">联系人 ：刘保生     电话：010-63978091/18610371446         </w:t>
      </w:r>
    </w:p>
    <w:p w14:paraId="14819D67">
      <w:pPr>
        <w:widowControl w:val="0"/>
        <w:spacing w:before="0" w:beforeAutospacing="0" w:after="0" w:afterAutospacing="0" w:line="380" w:lineRule="exact"/>
        <w:ind w:left="0" w:right="0"/>
        <w:jc w:val="both"/>
        <w:rPr>
          <w:rFonts w:hint="eastAsia" w:ascii="宋体" w:hAnsi="Times New Roman" w:eastAsia="Times New Roman" w:cs="宋体"/>
          <w:b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2"/>
          <w:sz w:val="21"/>
          <w:szCs w:val="20"/>
          <w:lang w:val="en-US" w:eastAsia="zh-CN" w:bidi="ar-SA"/>
        </w:rPr>
        <w:t>六、征文要求</w:t>
      </w:r>
    </w:p>
    <w:p w14:paraId="311FBE73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观点明确，内容翔实，数据准确；</w:t>
      </w:r>
    </w:p>
    <w:p w14:paraId="00D3A6F1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0"/>
          <w:lang w:val="en-US" w:eastAsia="zh-CN" w:bidi="ar-SA"/>
        </w:rPr>
        <w:t>文字简炼，字数控制在</w:t>
      </w:r>
      <w:r>
        <w:rPr>
          <w:rFonts w:hint="eastAsia" w:ascii="宋体" w:hAnsi="宋体" w:cs="宋体"/>
          <w:b w:val="0"/>
          <w:bCs/>
          <w:color w:val="auto"/>
          <w:kern w:val="2"/>
          <w:sz w:val="21"/>
          <w:szCs w:val="20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0"/>
          <w:lang w:val="en-US" w:eastAsia="zh-CN" w:bidi="ar-SA"/>
        </w:rPr>
        <w:t>000字以内，超出请自行删减；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544F43EA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图片要求清晰，彩色、黑白均可；</w:t>
      </w:r>
    </w:p>
    <w:p w14:paraId="1F2262B3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文章题目、作者、工作单位、摘要及关键词须译成英文，放在关键词与正文之间；摘要字数不少于300字；</w:t>
      </w:r>
    </w:p>
    <w:p w14:paraId="0F1D9745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投稿请E-mail至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instrText xml:space="preserve"> HYPERLINK "mailto:876689084@qq.com"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Style w:val="6"/>
          <w:rFonts w:hint="eastAsia" w:ascii="宋体" w:hAnsi="宋体" w:eastAsia="宋体" w:cs="宋体"/>
          <w:szCs w:val="21"/>
          <w:u w:val="single"/>
          <w:lang w:val="en-US"/>
        </w:rPr>
        <w:t>876689084@</w:t>
      </w:r>
      <w:r>
        <w:rPr>
          <w:rStyle w:val="6"/>
          <w:rFonts w:hint="eastAsia" w:ascii="Batang" w:hAnsi="Batang" w:eastAsia="Batang" w:cs="Batang"/>
          <w:szCs w:val="21"/>
          <w:u w:val="single"/>
          <w:lang w:val="en-US"/>
        </w:rPr>
        <w:t>qq</w:t>
      </w:r>
      <w:r>
        <w:rPr>
          <w:rStyle w:val="6"/>
          <w:rFonts w:hint="eastAsia" w:ascii="宋体" w:hAnsi="宋体" w:eastAsia="宋体" w:cs="宋体"/>
          <w:szCs w:val="21"/>
          <w:u w:val="single"/>
          <w:lang w:val="en-US"/>
        </w:rPr>
        <w:t>.com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（注明“年会论文”）</w:t>
      </w:r>
    </w:p>
    <w:p w14:paraId="76CFF7E1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截稿时间为：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u w:val="single"/>
          <w:lang w:val="en-US" w:eastAsia="zh-CN" w:bidi="ar-SA"/>
        </w:rPr>
        <w:t>202</w:t>
      </w:r>
      <w:r>
        <w:rPr>
          <w:rFonts w:hint="eastAsia" w:ascii="宋体" w:hAnsi="宋体" w:cs="宋体"/>
          <w:color w:val="auto"/>
          <w:kern w:val="2"/>
          <w:sz w:val="21"/>
          <w:szCs w:val="20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u w:val="single"/>
          <w:lang w:val="en-US" w:eastAsia="zh-CN" w:bidi="ar-SA"/>
        </w:rPr>
        <w:t>年9月2</w:t>
      </w:r>
      <w:r>
        <w:rPr>
          <w:rFonts w:hint="eastAsia" w:ascii="宋体" w:hAnsi="宋体" w:cs="宋体"/>
          <w:color w:val="auto"/>
          <w:kern w:val="2"/>
          <w:sz w:val="21"/>
          <w:szCs w:val="20"/>
          <w:u w:val="singl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u w:val="single"/>
          <w:lang w:val="en-US" w:eastAsia="zh-CN" w:bidi="ar-SA"/>
        </w:rPr>
        <w:t>日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；</w:t>
      </w:r>
    </w:p>
    <w:p w14:paraId="2A1C3D4E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0"/>
          <w:lang w:val="en-US" w:eastAsia="zh-CN" w:bidi="ar-SA"/>
        </w:rPr>
        <w:t>7、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具体格式要求如下：</w:t>
      </w:r>
    </w:p>
    <w:p w14:paraId="53A28938">
      <w:pPr>
        <w:widowControl w:val="0"/>
        <w:spacing w:before="0" w:beforeAutospacing="0" w:after="0" w:afterAutospacing="0" w:line="380" w:lineRule="exact"/>
        <w:ind w:left="0" w:right="0" w:firstLine="420" w:firstLineChars="200"/>
        <w:jc w:val="both"/>
        <w:rPr>
          <w:rFonts w:hint="eastAsia" w:ascii="宋体" w:hAnsi="Times New Roman" w:eastAsia="Times New Roman" w:cs="宋体"/>
          <w:lang w:val="en-US"/>
        </w:rPr>
      </w:pPr>
    </w:p>
    <w:p w14:paraId="0AED762B">
      <w:pPr>
        <w:widowControl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lang w:val="en-US"/>
        </w:rPr>
      </w:pPr>
    </w:p>
    <w:p w14:paraId="55145FE7">
      <w:pPr>
        <w:widowControl w:val="0"/>
        <w:spacing w:before="0" w:beforeAutospacing="0" w:after="0" w:afterAutospacing="0"/>
        <w:ind w:left="0" w:right="0"/>
        <w:jc w:val="center"/>
        <w:rPr>
          <w:rFonts w:hint="eastAsia" w:ascii="黑体" w:eastAsia="黑体" w:cs="黑体"/>
          <w:sz w:val="24"/>
          <w:szCs w:val="20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4"/>
          <w:szCs w:val="20"/>
          <w:lang w:val="en-US" w:eastAsia="zh-CN" w:bidi="ar-SA"/>
        </w:rPr>
        <w:t xml:space="preserve"> </w:t>
      </w:r>
      <w:r>
        <w:rPr>
          <w:rFonts w:hint="eastAsia" w:ascii="黑体" w:hAnsi="Times New Roman" w:eastAsia="黑体" w:cs="黑体"/>
          <w:color w:val="auto"/>
          <w:kern w:val="2"/>
          <w:sz w:val="24"/>
          <w:szCs w:val="20"/>
          <w:lang w:val="en-US" w:eastAsia="zh-CN" w:bidi="ar-SA"/>
        </w:rPr>
        <w:t>中文题目</w:t>
      </w:r>
    </w:p>
    <w:p w14:paraId="52367467">
      <w:pPr>
        <w:widowControl w:val="0"/>
        <w:spacing w:before="0" w:beforeAutospacing="0" w:after="0" w:afterAutospacing="0"/>
        <w:ind w:left="0" w:right="0"/>
        <w:jc w:val="center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（题名应简单明了，并能概括文章的主题，不要超过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20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个字）</w:t>
      </w:r>
    </w:p>
    <w:p w14:paraId="5C45BA01">
      <w:pPr>
        <w:widowControl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lang w:val="en-US"/>
        </w:rPr>
      </w:pP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lang w:val="en-US" w:eastAsia="zh-CN" w:bidi="ar-SA"/>
        </w:rPr>
        <w:t>第1作者姓名</w:t>
      </w: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vertAlign w:val="superscript"/>
          <w:lang w:val="en-US" w:eastAsia="zh-CN" w:bidi="ar-SA"/>
        </w:rPr>
        <w:t>1</w:t>
      </w: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lang w:val="en-US" w:eastAsia="zh-CN" w:bidi="ar-SA"/>
        </w:rPr>
        <w:t>，第2作者姓名</w:t>
      </w: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vertAlign w:val="superscript"/>
          <w:lang w:val="en-US" w:eastAsia="zh-CN" w:bidi="ar-SA"/>
        </w:rPr>
        <w:t>2</w:t>
      </w: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lang w:val="en-US" w:eastAsia="zh-CN" w:bidi="ar-SA"/>
        </w:rPr>
        <w:t xml:space="preserve"> ，第3作者姓名</w:t>
      </w: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vertAlign w:val="superscript"/>
          <w:lang w:val="en-US" w:eastAsia="zh-CN" w:bidi="ar-SA"/>
        </w:rPr>
        <w:t>3</w:t>
      </w: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lang w:val="en-US" w:eastAsia="zh-CN" w:bidi="ar-SA"/>
        </w:rPr>
        <w:t>，……</w:t>
      </w:r>
    </w:p>
    <w:p w14:paraId="0AD04760">
      <w:pPr>
        <w:widowControl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lang w:val="en-US"/>
        </w:rPr>
      </w:pP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lang w:val="en-US" w:eastAsia="zh-CN" w:bidi="ar-SA"/>
        </w:rPr>
        <w:t xml:space="preserve">（1. 作者单位全名，省名 城市名 邮编；2. 作者单位全名，省名 城市名 邮编；3.……）  </w:t>
      </w:r>
    </w:p>
    <w:p w14:paraId="272986C8">
      <w:pPr>
        <w:widowControl w:val="0"/>
        <w:spacing w:before="0" w:beforeAutospacing="0" w:after="0" w:afterAutospacing="0"/>
        <w:ind w:left="0" w:right="0"/>
        <w:jc w:val="center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（文章作者单位不同，在作者姓名后以数字上标标注）</w:t>
      </w:r>
    </w:p>
    <w:p w14:paraId="181EC7C9">
      <w:pPr>
        <w:widowControl w:val="0"/>
        <w:spacing w:before="0" w:beforeAutospacing="0" w:after="0" w:afterAutospacing="0"/>
        <w:ind w:left="0" w:right="0"/>
        <w:jc w:val="both"/>
        <w:rPr>
          <w:b/>
          <w:lang w:val="en-US"/>
        </w:rPr>
      </w:pPr>
    </w:p>
    <w:p w14:paraId="5DD2822A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摘要：</w:t>
      </w: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lang w:val="en-US" w:eastAsia="zh-CN" w:bidi="ar-SA"/>
        </w:rPr>
        <w:t>……</w:t>
      </w:r>
      <w:r>
        <w:rPr>
          <w:rFonts w:hint="eastAsia" w:ascii="Times New Roman" w:hAnsi="Times New Roman" w:eastAsia="宋体" w:cs="宋体"/>
          <w:bCs/>
          <w:color w:val="auto"/>
          <w:kern w:val="2"/>
          <w:sz w:val="21"/>
          <w:szCs w:val="20"/>
          <w:lang w:val="en-US" w:eastAsia="zh-CN" w:bidi="ar-SA"/>
        </w:rPr>
        <w:t>请作者务必重视摘要写作，不能简单概述、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字数在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200-300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字为宜。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419F39CB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关键词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：关键词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1;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关键词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2;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关键词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3; </w:t>
      </w:r>
      <w:r>
        <w:rPr>
          <w:rFonts w:hint="eastAsia" w:ascii="楷体_GB2312" w:hAnsi="Times New Roman" w:eastAsia="楷体_GB2312" w:cs="楷体_GB2312"/>
          <w:color w:val="auto"/>
          <w:kern w:val="2"/>
          <w:sz w:val="21"/>
          <w:szCs w:val="20"/>
          <w:lang w:val="en-US" w:eastAsia="zh-CN" w:bidi="ar-SA"/>
        </w:rPr>
        <w:t>……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 </w:t>
      </w:r>
    </w:p>
    <w:p w14:paraId="6DB827F9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（关键词是从论文题名、层次标题和正文中甄选出来的能反映论文主题概念的词或词组。每篇论文选取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4-8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个关键词，各关键词间用分号隔开。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</w:t>
      </w:r>
    </w:p>
    <w:p w14:paraId="0D0B58AC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   </w:t>
      </w:r>
    </w:p>
    <w:p w14:paraId="5EF3B52E">
      <w:pPr>
        <w:widowControl w:val="0"/>
        <w:spacing w:before="0" w:beforeAutospacing="0" w:after="0" w:afterAutospacing="0"/>
        <w:ind w:left="0" w:right="0"/>
        <w:jc w:val="center"/>
        <w:rPr>
          <w:rFonts w:eastAsia="黑体"/>
          <w:b/>
          <w:sz w:val="28"/>
          <w:szCs w:val="28"/>
          <w:lang w:val="en-US"/>
        </w:rPr>
      </w:pPr>
      <w:r>
        <w:rPr>
          <w:rFonts w:hint="eastAsia" w:ascii="Times New Roman" w:hAnsi="Times New Roman" w:eastAsia="黑体" w:cs="Times New Roman"/>
          <w:b/>
          <w:color w:val="auto"/>
          <w:kern w:val="2"/>
          <w:sz w:val="28"/>
          <w:szCs w:val="28"/>
          <w:lang w:val="en-US" w:eastAsia="zh-CN" w:bidi="ar-SA"/>
        </w:rPr>
        <w:t>英文题目（</w:t>
      </w:r>
      <w:r>
        <w:rPr>
          <w:rFonts w:hint="default" w:ascii="Times New Roman" w:hAnsi="Times New Roman" w:eastAsia="黑体" w:cs="Times New Roman"/>
          <w:b/>
          <w:color w:val="auto"/>
          <w:kern w:val="2"/>
          <w:sz w:val="28"/>
          <w:szCs w:val="28"/>
          <w:lang w:val="en-US" w:eastAsia="zh-CN" w:bidi="ar-SA"/>
        </w:rPr>
        <w:t>Title</w:t>
      </w:r>
      <w:r>
        <w:rPr>
          <w:rFonts w:hint="eastAsia" w:ascii="Times New Roman" w:hAnsi="Times New Roman" w:eastAsia="黑体" w:cs="Times New Roman"/>
          <w:b/>
          <w:color w:val="auto"/>
          <w:kern w:val="2"/>
          <w:sz w:val="28"/>
          <w:szCs w:val="28"/>
          <w:lang w:val="en-US" w:eastAsia="zh-CN" w:bidi="ar-SA"/>
        </w:rPr>
        <w:t>）</w:t>
      </w:r>
    </w:p>
    <w:p w14:paraId="48CA282F">
      <w:pPr>
        <w:widowControl w:val="0"/>
        <w:spacing w:before="0" w:beforeAutospacing="0" w:after="0" w:afterAutospacing="0"/>
        <w:ind w:left="0" w:right="0"/>
        <w:jc w:val="center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（英文标题应与中文题目保持一致。英文标题第一个单词首字母大写，标题中的英文实词首字母大写。）</w:t>
      </w:r>
    </w:p>
    <w:p w14:paraId="525B0138">
      <w:pPr>
        <w:widowControl w:val="0"/>
        <w:spacing w:before="0" w:beforeAutospacing="0" w:after="0" w:afterAutospacing="0"/>
        <w:ind w:left="0" w:right="0"/>
        <w:jc w:val="center"/>
        <w:rPr>
          <w:rFonts w:eastAsia="楷体_GB2312"/>
          <w:i/>
          <w:lang w:val="en-US"/>
        </w:rPr>
      </w:pP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lang w:val="en-US" w:eastAsia="zh-CN" w:bidi="ar-SA"/>
        </w:rPr>
        <w:t>Author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vertAlign w:val="superscript"/>
          <w:lang w:val="en-US" w:eastAsia="zh-CN" w:bidi="ar-SA"/>
        </w:rPr>
        <w:t>1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楷体_GB2312" w:cs="楷体_GB2312"/>
          <w:i/>
          <w:color w:val="auto"/>
          <w:kern w:val="2"/>
          <w:sz w:val="21"/>
          <w:szCs w:val="20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lang w:val="en-US" w:eastAsia="zh-CN" w:bidi="ar-SA"/>
        </w:rPr>
        <w:t>Author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vertAlign w:val="superscript"/>
          <w:lang w:val="en-US" w:eastAsia="zh-CN" w:bidi="ar-SA"/>
        </w:rPr>
        <w:t>2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i/>
          <w:color w:val="auto"/>
          <w:kern w:val="2"/>
          <w:sz w:val="21"/>
          <w:szCs w:val="20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lang w:val="en-US" w:eastAsia="zh-CN" w:bidi="ar-SA"/>
        </w:rPr>
        <w:t>Author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楷体_GB2312" w:cs="楷体_GB2312"/>
          <w:i/>
          <w:color w:val="auto"/>
          <w:kern w:val="2"/>
          <w:sz w:val="21"/>
          <w:szCs w:val="20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lang w:val="en-US" w:eastAsia="zh-CN" w:bidi="ar-SA"/>
        </w:rPr>
        <w:t>……</w:t>
      </w:r>
    </w:p>
    <w:p w14:paraId="2165B6D6">
      <w:pPr>
        <w:widowControl w:val="0"/>
        <w:spacing w:before="0" w:beforeAutospacing="0" w:after="0" w:afterAutospacing="0"/>
        <w:ind w:left="0" w:right="0"/>
        <w:jc w:val="center"/>
        <w:rPr>
          <w:rFonts w:eastAsia="楷体_GB2312"/>
          <w:i/>
          <w:lang w:val="en-US"/>
        </w:rPr>
      </w:pPr>
      <w:r>
        <w:rPr>
          <w:rFonts w:hint="eastAsia" w:ascii="Times New Roman" w:hAnsi="Times New Roman" w:eastAsia="宋体" w:cs="宋体"/>
          <w:i/>
          <w:color w:val="auto"/>
          <w:kern w:val="2"/>
          <w:sz w:val="21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0"/>
          <w:lang w:val="en-US" w:eastAsia="zh-CN" w:bidi="ar-SA"/>
        </w:rPr>
        <w:t>1.Dept,City, City zip code,China; 2.Dept,City, City  zip code,China; 3.Dept,City, City  zip code,China;</w:t>
      </w:r>
      <w:r>
        <w:rPr>
          <w:rFonts w:hint="default" w:ascii="Times New Roman" w:hAnsi="Times New Roman" w:eastAsia="楷体_GB2312" w:cs="Times New Roman"/>
          <w:i/>
          <w:color w:val="auto"/>
          <w:kern w:val="2"/>
          <w:sz w:val="21"/>
          <w:szCs w:val="20"/>
          <w:lang w:val="en-US" w:eastAsia="zh-CN" w:bidi="ar-SA"/>
        </w:rPr>
        <w:t xml:space="preserve"> ……</w:t>
      </w:r>
      <w:r>
        <w:rPr>
          <w:rFonts w:hint="eastAsia" w:ascii="Times New Roman" w:hAnsi="Times New Roman" w:eastAsia="宋体" w:cs="宋体"/>
          <w:i/>
          <w:color w:val="auto"/>
          <w:kern w:val="2"/>
          <w:sz w:val="21"/>
          <w:szCs w:val="20"/>
          <w:lang w:val="en-US" w:eastAsia="zh-CN" w:bidi="ar-SA"/>
        </w:rPr>
        <w:t>）</w:t>
      </w:r>
    </w:p>
    <w:p w14:paraId="6A111207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7690C525">
      <w:pPr>
        <w:widowControl w:val="0"/>
        <w:spacing w:before="0" w:beforeAutospacing="0" w:after="0" w:afterAutospacing="0"/>
        <w:ind w:left="0" w:right="0"/>
        <w:jc w:val="both"/>
        <w:rPr>
          <w:rFonts w:eastAsia="Times New Roman"/>
          <w:i/>
          <w:lang w:val="en-US"/>
        </w:rPr>
      </w:pPr>
      <w:r>
        <w:rPr>
          <w:rFonts w:hint="default" w:ascii="Times New Roman" w:hAnsi="Times New Roman" w:eastAsia="宋体" w:cs="Times New Roman"/>
          <w:b/>
          <w:i/>
          <w:color w:val="auto"/>
          <w:kern w:val="2"/>
          <w:sz w:val="21"/>
          <w:szCs w:val="20"/>
          <w:lang w:val="en-US" w:eastAsia="zh-CN" w:bidi="ar-SA"/>
        </w:rPr>
        <w:t>Abstract</w:t>
      </w:r>
      <w:r>
        <w:rPr>
          <w:rFonts w:hint="eastAsia" w:ascii="Times New Roman" w:hAnsi="Times New Roman" w:eastAsia="宋体" w:cs="宋体"/>
          <w:b/>
          <w:i/>
          <w:color w:val="auto"/>
          <w:kern w:val="2"/>
          <w:sz w:val="21"/>
          <w:szCs w:val="20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0"/>
          <w:lang w:val="en-US" w:eastAsia="zh-CN" w:bidi="ar-SA"/>
        </w:rPr>
        <w:t>(</w:t>
      </w:r>
      <w:r>
        <w:rPr>
          <w:rFonts w:hint="eastAsia" w:ascii="Times New Roman" w:hAnsi="Times New Roman" w:eastAsia="宋体" w:cs="宋体"/>
          <w:i/>
          <w:color w:val="auto"/>
          <w:kern w:val="2"/>
          <w:sz w:val="21"/>
          <w:szCs w:val="20"/>
          <w:lang w:val="en-US" w:eastAsia="zh-CN" w:bidi="ar-SA"/>
        </w:rPr>
        <w:t>英文摘要应是中文摘要的转译，应注意中英文不同的表达方法，不要简单地逐字直译。请注意：文摘叙述要完整、清楚、简明；尽量用短句子并避免句型单调；第三人称叙述，用过去时态叙述作者工作（目的、方法、结果），用现在主动时态叙述作者结论。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0"/>
          <w:lang w:val="en-US" w:eastAsia="zh-CN" w:bidi="ar-SA"/>
        </w:rPr>
        <w:t xml:space="preserve"> )</w:t>
      </w:r>
    </w:p>
    <w:p w14:paraId="0DE2B76D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Times New Roman"/>
          <w:b/>
          <w:i/>
          <w:color w:val="auto"/>
          <w:kern w:val="2"/>
          <w:sz w:val="21"/>
          <w:szCs w:val="20"/>
          <w:lang w:val="en-US" w:eastAsia="zh-CN" w:bidi="ar-SA"/>
        </w:rPr>
        <w:t>Key words</w:t>
      </w:r>
      <w:r>
        <w:rPr>
          <w:rFonts w:hint="eastAsia" w:ascii="Times New Roman" w:hAnsi="Times New Roman" w:eastAsia="宋体" w:cs="宋体"/>
          <w:i/>
          <w:color w:val="auto"/>
          <w:kern w:val="2"/>
          <w:sz w:val="21"/>
          <w:szCs w:val="20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0"/>
          <w:lang w:val="en-US" w:eastAsia="zh-CN" w:bidi="ar-SA"/>
        </w:rPr>
        <w:t xml:space="preserve">keyword1; keyword2; keyword3; keyword4; </w:t>
      </w:r>
      <w:r>
        <w:rPr>
          <w:rFonts w:hint="eastAsia" w:ascii="Times New Roman" w:hAnsi="Times New Roman" w:eastAsia="宋体" w:cs="宋体"/>
          <w:i/>
          <w:color w:val="auto"/>
          <w:kern w:val="2"/>
          <w:sz w:val="21"/>
          <w:szCs w:val="20"/>
          <w:lang w:val="en-US" w:eastAsia="zh-CN" w:bidi="ar-SA"/>
        </w:rPr>
        <w:t>……（与中文关键词相对应，字母小写，缩略词除外）</w:t>
      </w:r>
      <w:r>
        <w:rPr>
          <w:rFonts w:hint="default" w:ascii="Times New Roman" w:hAnsi="Times New Roman" w:eastAsia="宋体" w:cs="Times New Roman"/>
          <w:i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0B410E97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07010081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（正文中的各标题从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开始编号：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1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一级标题；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1.1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二级标题；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1.1.1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三级标题或（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）三级标题；①四级标题；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a.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五级标题……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</w:t>
      </w:r>
    </w:p>
    <w:p w14:paraId="130EC5AA">
      <w:pPr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Fonts w:cs="Calibri"/>
          <w:b/>
          <w:lang w:val="en-US"/>
        </w:rPr>
      </w:pP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1 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引言</w:t>
      </w: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74B2267E">
      <w:pPr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Fonts w:eastAsia="Times New Roman" w:cs="Calibri"/>
          <w:b/>
          <w:lang w:val="en-US"/>
        </w:rPr>
      </w:pP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2 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一级标题</w:t>
      </w:r>
    </w:p>
    <w:p w14:paraId="367D3E00">
      <w:pPr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Fonts w:eastAsia="Times New Roman" w:cs="Calibri"/>
          <w:b/>
          <w:lang w:val="en-US"/>
        </w:rPr>
      </w:pP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2.1 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二级标题</w:t>
      </w:r>
    </w:p>
    <w:p w14:paraId="77A6999F">
      <w:pPr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Fonts w:eastAsia="Times New Roman" w:cs="Calibri"/>
          <w:b/>
          <w:lang w:val="en-US"/>
        </w:rPr>
      </w:pP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2.1.1 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三级标题</w:t>
      </w: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或（</w:t>
      </w: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>1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）三级标题</w:t>
      </w:r>
    </w:p>
    <w:p w14:paraId="0E52C8E4">
      <w:pPr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Fonts w:eastAsia="Times New Roman" w:cs="Calibri"/>
          <w:b/>
          <w:lang w:val="en-US"/>
        </w:rPr>
      </w:pP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①四级标题</w:t>
      </w:r>
    </w:p>
    <w:p w14:paraId="5AB9AAE0">
      <w:pPr>
        <w:widowControl w:val="0"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hanging="360"/>
        <w:jc w:val="both"/>
        <w:textAlignment w:val="auto"/>
        <w:outlineLvl w:val="9"/>
        <w:rPr>
          <w:rFonts w:eastAsia="Times New Roman" w:cs="Calibri"/>
          <w:b/>
          <w:lang w:val="en-US"/>
        </w:rPr>
      </w:pP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五级标题</w:t>
      </w:r>
    </w:p>
    <w:p w14:paraId="30E7F74E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b/>
          <w:lang w:val="en-US"/>
        </w:rPr>
      </w:pPr>
    </w:p>
    <w:p w14:paraId="35A4AC33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b/>
          <w:lang w:val="en-US"/>
        </w:rPr>
      </w:pP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正文写作要求：</w:t>
      </w:r>
    </w:p>
    <w:p w14:paraId="7C65E980">
      <w:pPr>
        <w:widowControl w:val="0"/>
        <w:spacing w:before="0" w:beforeAutospacing="0" w:after="0" w:afterAutospacing="0" w:line="360" w:lineRule="auto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</w:t>
      </w:r>
      <w:r>
        <w:rPr>
          <w:rFonts w:hint="eastAsia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篇幅。正文在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6000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字以内（包括图及表格），超出要求请自行修改、删减。</w:t>
      </w:r>
    </w:p>
    <w:p w14:paraId="74354ABA">
      <w:pPr>
        <w:widowControl w:val="0"/>
        <w:spacing w:before="0" w:beforeAutospacing="0" w:after="0" w:afterAutospacing="0" w:line="360" w:lineRule="auto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2</w:t>
      </w:r>
      <w:r>
        <w:rPr>
          <w:rFonts w:hint="eastAsia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引言。一般言简意赅，突出重点，其内容不应与摘要雷同，也不应是摘要的注释；一般不应出现插图、表格及数学公式的推导证明。</w:t>
      </w:r>
    </w:p>
    <w:p w14:paraId="0CA64D00">
      <w:pPr>
        <w:widowControl w:val="0"/>
        <w:spacing w:before="0" w:beforeAutospacing="0" w:after="0" w:afterAutospacing="0" w:line="360" w:lineRule="auto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3</w:t>
      </w:r>
      <w:r>
        <w:rPr>
          <w:rFonts w:hint="eastAsia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内容。正文内容一般应包括研究的对象、方法、结果和讨论这几个部分，务求客观、真实、科学、完备，应尽量利用事实和数据论述。对已有的知识应避免重复论证和描述，也应防止过分注意细节的数学推演。</w:t>
      </w:r>
    </w:p>
    <w:p w14:paraId="44B795B7">
      <w:pPr>
        <w:widowControl w:val="0"/>
        <w:spacing w:before="0" w:beforeAutospacing="0" w:after="0" w:afterAutospacing="0" w:line="360" w:lineRule="auto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4</w:t>
      </w:r>
      <w:r>
        <w:rPr>
          <w:rFonts w:hint="eastAsia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公式。请在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word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中采用公示编辑器制作，重要数学公式应另起一行居中排，并顺序编号，后文不提及的公式，可以不编号。按公式中量符号出现的顺序，用准确、简洁的语句解释其物理意义。应注意：公式中的量符号（指自行设定的量符号）通常采用单个拉丁字母或希腊字母，必要时可加下标或说明性记号，尽量避免复合上下角标的使用，尽量少用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3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层关系的上下角标；尽量避免不必要的公式推导。公示表示如下：</w:t>
      </w:r>
    </w:p>
    <w:p w14:paraId="73913569">
      <w:pPr>
        <w:widowControl/>
        <w:spacing w:before="0" w:beforeAutospacing="1" w:after="0" w:afterAutospacing="1" w:line="300" w:lineRule="auto"/>
        <w:ind w:left="0" w:right="0"/>
        <w:jc w:val="center"/>
        <w:rPr>
          <w:rFonts w:hint="eastAsia" w:ascii="宋体" w:hAnsi="Times New Roman" w:eastAsia="宋体" w:cs="宋体"/>
          <w:kern w:val="0"/>
          <w:sz w:val="24"/>
          <w:szCs w:val="20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0"/>
          <w:lang w:val="en-US" w:eastAsia="zh-CN" w:bidi="ar-SA"/>
        </w:rPr>
        <w:object>
          <v:shape id="_x0000_i1025" o:spt="75" type="#_x0000_t75" style="height:69.75pt;width:116.25pt;" o:ole="t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 xml:space="preserve">  </w:t>
      </w:r>
    </w:p>
    <w:p w14:paraId="780598BA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5</w:t>
      </w:r>
      <w:r>
        <w:rPr>
          <w:rFonts w:hint="eastAsia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量和单位。量和单位的名称与符号应规范（见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GB3100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～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3102-93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），量符号本身用斜体，其下标除表示变量的字母用斜体外，其余均用正体，矢量、张量、矩阵符号用黑斜体。</w:t>
      </w:r>
    </w:p>
    <w:p w14:paraId="6E5B7B6D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6</w:t>
      </w:r>
      <w:r>
        <w:rPr>
          <w:rFonts w:hint="eastAsia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图。图要有图序、图名，随文编排，先见相应文字后见图。插图要精绘，图字要清晰，图线应光顺、连续、粗细适中，主辅线分明，图宽不宜超过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75mm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（半栏）或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150mm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（通栏），线条与文字不应干涉。例如：</w:t>
      </w:r>
    </w:p>
    <w:p w14:paraId="324D6F99">
      <w:pPr>
        <w:widowControl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Times New Roman" w:cs="宋体"/>
          <w:sz w:val="24"/>
          <w:szCs w:val="20"/>
          <w:lang w:val="en-US"/>
        </w:rPr>
      </w:pPr>
      <w:r>
        <w:rPr>
          <w:rFonts w:hint="eastAsia" w:ascii="宋体" w:hAnsi="Times New Roman" w:eastAsia="Times New Roman" w:cs="宋体"/>
          <w:color w:val="auto"/>
          <w:kern w:val="2"/>
          <w:sz w:val="24"/>
          <w:szCs w:val="20"/>
          <w:lang w:val="en-US" w:eastAsia="zh-CN" w:bidi="ar-SA"/>
        </w:rPr>
        <w:drawing>
          <wp:inline distT="0" distB="0" distL="114300" distR="114300">
            <wp:extent cx="3076575" cy="258127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0ADD">
      <w:pPr>
        <w:widowControl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Times New Roman" w:cs="宋体"/>
          <w:sz w:val="24"/>
          <w:szCs w:val="20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-SA"/>
        </w:rPr>
        <w:t xml:space="preserve">图 </w:t>
      </w:r>
      <w:r>
        <w:rPr>
          <w:rFonts w:hint="default" w:ascii="Times New Roman" w:hAnsi="Times New Roman" w:eastAsia="宋体" w:cs="Calibri"/>
          <w:color w:val="auto"/>
          <w:kern w:val="2"/>
          <w:sz w:val="18"/>
          <w:szCs w:val="18"/>
          <w:lang w:val="en-US" w:eastAsia="zh-CN" w:bidi="ar-SA"/>
        </w:rPr>
        <w:t>2</w:t>
      </w:r>
      <w:r>
        <w:rPr>
          <w:rFonts w:hint="eastAsia" w:ascii="Times New Roman" w:hAnsi="Times New Roman" w:eastAsia="宋体" w:cs="宋体"/>
          <w:color w:val="auto"/>
          <w:kern w:val="2"/>
          <w:sz w:val="18"/>
          <w:szCs w:val="18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-SA"/>
        </w:rPr>
        <w:t>阶牛顿插值</w:t>
      </w:r>
      <w:r>
        <w:rPr>
          <w:rFonts w:hint="default" w:ascii="Times New Roman" w:hAnsi="Times New Roman" w:eastAsia="宋体" w:cs="Calibri"/>
          <w:color w:val="auto"/>
          <w:kern w:val="2"/>
          <w:sz w:val="18"/>
          <w:szCs w:val="18"/>
          <w:lang w:val="en-US" w:eastAsia="zh-CN" w:bidi="ar-SA"/>
        </w:rPr>
        <w:t>(3h—9h</w:t>
      </w:r>
      <w:r>
        <w:rPr>
          <w:rFonts w:hint="default" w:ascii="Times New Roman" w:hAnsi="宋体" w:eastAsia="宋体" w:cs="Calibri"/>
          <w:color w:val="auto"/>
          <w:kern w:val="2"/>
          <w:sz w:val="18"/>
          <w:szCs w:val="18"/>
          <w:lang w:val="en-US" w:eastAsia="zh-CN" w:bidi="ar-SA"/>
        </w:rPr>
        <w:t>)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-SA"/>
        </w:rPr>
        <w:t>时段内的插值误差</w:t>
      </w:r>
    </w:p>
    <w:p w14:paraId="732E6C36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1B7AC678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7</w:t>
      </w:r>
      <w:r>
        <w:rPr>
          <w:rFonts w:hint="eastAsia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表格。文章中所有表格一律采用三线表。表格应精选，应有自明性，其内容尽量避免与插图或文字表达重复；要有表序、表名；表中同一物理量的有效数字位数应相同；表头中使用剂量符号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/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剂量单位，文中的相关术语和符号应保持全文一致性。例如：</w:t>
      </w:r>
    </w:p>
    <w:p w14:paraId="1ACA70C9">
      <w:pPr>
        <w:widowControl w:val="0"/>
        <w:adjustRightInd w:val="0"/>
        <w:snapToGrid w:val="0"/>
        <w:spacing w:before="0" w:beforeAutospacing="0" w:after="0" w:afterAutospacing="0" w:line="300" w:lineRule="auto"/>
        <w:ind w:left="0" w:right="0" w:firstLine="360" w:firstLineChars="200"/>
        <w:jc w:val="center"/>
        <w:rPr>
          <w:rFonts w:hint="eastAsia" w:ascii="宋体" w:hAnsi="宋体" w:eastAsia="宋体" w:cs="宋体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-SA"/>
        </w:rPr>
        <w:t xml:space="preserve">             号卫星内插数据结果                表2</w:t>
      </w:r>
    </w:p>
    <w:tbl>
      <w:tblPr>
        <w:tblStyle w:val="4"/>
        <w:tblW w:w="4868" w:type="dxa"/>
        <w:jc w:val="center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single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</w:tblGrid>
      <w:tr w14:paraId="6841072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single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5EC118A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21"/>
                <w:szCs w:val="20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号卫星</w:t>
            </w:r>
          </w:p>
        </w:tc>
        <w:tc>
          <w:tcPr>
            <w:tcW w:w="365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C352F1D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位置差值</w:t>
            </w:r>
          </w:p>
        </w:tc>
      </w:tr>
      <w:tr w14:paraId="302C8BC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single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022CA136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0"/>
                <w:lang w:val="en-US" w:eastAsia="zh-CN" w:bidi="ar-SA"/>
              </w:rPr>
              <w:t>历元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4B117CC3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21"/>
                <w:szCs w:val="20"/>
                <w:lang w:val="en-US" w:eastAsia="zh-CN" w:bidi="ar-SA"/>
              </w:rPr>
              <w:t>dX/mm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55515E6C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21"/>
                <w:szCs w:val="20"/>
                <w:lang w:val="en-US" w:eastAsia="zh-CN" w:bidi="ar-SA"/>
              </w:rPr>
              <w:t>dY/mm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43053751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21"/>
                <w:szCs w:val="20"/>
                <w:lang w:val="en-US" w:eastAsia="zh-CN" w:bidi="ar-SA"/>
              </w:rPr>
              <w:t>dZ/mm</w:t>
            </w:r>
          </w:p>
        </w:tc>
      </w:tr>
      <w:tr w14:paraId="0040A0C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single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652C7602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1:00:00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7F0C922D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11CD94EB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-1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0A660A5F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</w:tr>
      <w:tr w14:paraId="3BB33676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single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C52EBA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2:00:00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2F709A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9811A5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407E06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</w:tr>
      <w:tr w14:paraId="251C8F5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single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C76B7EF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3:00:00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FE248C1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-1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00ABD13A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1BF8775B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auto"/>
                <w:kern w:val="2"/>
                <w:sz w:val="18"/>
                <w:szCs w:val="18"/>
                <w:lang w:val="en-US" w:eastAsia="zh-CN" w:bidi="ar-SA"/>
              </w:rPr>
              <w:t>-2</w:t>
            </w:r>
          </w:p>
        </w:tc>
      </w:tr>
    </w:tbl>
    <w:p w14:paraId="382CDFFD">
      <w:pPr>
        <w:widowControl w:val="0"/>
        <w:adjustRightInd w:val="0"/>
        <w:snapToGrid w:val="0"/>
        <w:spacing w:before="0" w:beforeAutospacing="0" w:after="0" w:afterAutospacing="0" w:line="300" w:lineRule="auto"/>
        <w:ind w:left="0" w:right="0" w:firstLine="360" w:firstLineChars="200"/>
        <w:jc w:val="center"/>
        <w:rPr>
          <w:rFonts w:eastAsia="Times New Roman"/>
          <w:sz w:val="18"/>
          <w:szCs w:val="18"/>
          <w:lang w:val="en-US"/>
        </w:rPr>
      </w:pPr>
    </w:p>
    <w:p w14:paraId="7635C448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b/>
          <w:lang w:val="en-US"/>
        </w:rPr>
      </w:pP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3 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结论</w:t>
      </w: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6E1034BB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（结论内容较多时，可分条列举，并顺序编号，如（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）、（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2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）、……；内容较少时，可写成一段；如无必要，也可不给出结论。）</w:t>
      </w:r>
    </w:p>
    <w:p w14:paraId="72EAA928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3FF56204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b/>
          <w:lang w:val="en-US"/>
        </w:rPr>
      </w:pPr>
      <w:r>
        <w:rPr>
          <w:rFonts w:hint="eastAsia" w:ascii="Times New Roman" w:hAnsi="Times New Roman" w:cs="宋体"/>
          <w:b/>
          <w:color w:val="auto"/>
          <w:kern w:val="2"/>
          <w:sz w:val="21"/>
          <w:szCs w:val="20"/>
          <w:lang w:val="en-US" w:eastAsia="zh-CN" w:bidi="ar-SA"/>
        </w:rPr>
        <w:t>4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参考文献</w:t>
      </w:r>
      <w:r>
        <w:rPr>
          <w:rFonts w:hint="default" w:ascii="Times New Roman" w:hAnsi="Times New Roman" w:eastAsia="宋体" w:cs="Calibri"/>
          <w:b/>
          <w:color w:val="auto"/>
          <w:kern w:val="2"/>
          <w:sz w:val="21"/>
          <w:szCs w:val="20"/>
          <w:lang w:val="en-US" w:eastAsia="zh-CN" w:bidi="ar-SA"/>
        </w:rPr>
        <w:t xml:space="preserve">: </w:t>
      </w:r>
    </w:p>
    <w:p w14:paraId="5CFE6652">
      <w:pPr>
        <w:widowControl w:val="0"/>
        <w:spacing w:before="0" w:beforeAutospacing="0" w:after="0" w:afterAutospacing="0"/>
        <w:ind w:left="0" w:right="0" w:firstLine="420" w:firstLineChars="200"/>
        <w:jc w:val="both"/>
      </w:pPr>
      <w:r>
        <w:rPr>
          <w:rFonts w:hint="default" w:ascii="Times New Roman" w:hAnsi="Times New Roman" w:eastAsia="宋体" w:cs="Times New Roman"/>
          <w:bCs/>
          <w:color w:val="auto"/>
          <w:kern w:val="2"/>
          <w:sz w:val="21"/>
          <w:szCs w:val="20"/>
          <w:lang w:val="en-US" w:eastAsia="zh-CN" w:bidi="ar-SA"/>
        </w:rPr>
        <w:t>1</w:t>
      </w:r>
      <w:r>
        <w:rPr>
          <w:rFonts w:hint="eastAsia" w:ascii="Times New Roman" w:hAnsi="Times New Roman" w:eastAsia="宋体" w:cs="宋体"/>
          <w:bCs/>
          <w:color w:val="auto"/>
          <w:kern w:val="2"/>
          <w:sz w:val="21"/>
          <w:szCs w:val="20"/>
          <w:lang w:val="en-US" w:eastAsia="zh-CN" w:bidi="ar-SA"/>
        </w:rPr>
        <w:t>、来稿</w:t>
      </w:r>
      <w:r>
        <w:rPr>
          <w:rFonts w:hint="eastAsia" w:ascii="Times New Roman" w:hAnsi="Times New Roman" w:eastAsia="宋体" w:cs="宋体"/>
          <w:bCs/>
          <w:color w:val="auto"/>
          <w:kern w:val="2"/>
          <w:sz w:val="21"/>
          <w:szCs w:val="20"/>
          <w:u w:val="single"/>
          <w:lang w:val="en-US" w:eastAsia="zh-CN" w:bidi="ar-SA"/>
        </w:rPr>
        <w:t>一定要</w:t>
      </w:r>
      <w:r>
        <w:rPr>
          <w:rFonts w:hint="eastAsia" w:ascii="Times New Roman" w:hAnsi="Times New Roman" w:eastAsia="宋体" w:cs="宋体"/>
          <w:bCs/>
          <w:color w:val="auto"/>
          <w:kern w:val="2"/>
          <w:sz w:val="21"/>
          <w:szCs w:val="20"/>
          <w:lang w:val="en-US" w:eastAsia="zh-CN" w:bidi="ar-SA"/>
        </w:rPr>
        <w:t>有参考文献；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参考文献限著者阅读过并在论文中引用过的正式出版物，未公开发表的资料请勿引用；列出主要参考文献即可；一定要给出文献类型标志；</w:t>
      </w:r>
    </w:p>
    <w:p w14:paraId="0EB1CD3A">
      <w:pPr>
        <w:widowControl w:val="0"/>
        <w:spacing w:before="0" w:beforeAutospacing="0" w:after="0" w:afterAutospacing="0"/>
        <w:ind w:left="0" w:right="0" w:firstLine="420" w:firstLineChars="20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>2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、参考文献不少于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>5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个，且不能为当年出版刊物。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3408AD8B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b/>
          <w:lang w:val="en-US"/>
        </w:rPr>
      </w:pPr>
    </w:p>
    <w:p w14:paraId="351D5F47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b/>
          <w:sz w:val="24"/>
          <w:szCs w:val="20"/>
          <w:lang w:val="en-US"/>
        </w:rPr>
      </w:pP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参考文献格式及示例</w:t>
      </w:r>
      <w:r>
        <w:rPr>
          <w:rFonts w:hint="eastAsia" w:ascii="Times New Roman" w:hAnsi="Times New Roman" w:eastAsia="宋体" w:cs="宋体"/>
          <w:b/>
          <w:color w:val="auto"/>
          <w:kern w:val="2"/>
          <w:sz w:val="24"/>
          <w:szCs w:val="20"/>
          <w:lang w:val="en-US" w:eastAsia="zh-CN" w:bidi="ar-SA"/>
        </w:rPr>
        <w:t>：</w:t>
      </w:r>
    </w:p>
    <w:p w14:paraId="03FA284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0" w:hanging="36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期刊：著者．题名．刊名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[J]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．出版年，卷（期）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起止页码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6C2BD801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08378378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[1]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周庆荣，张泽廷，朱美文等．固体溶质在含夹带剂超临界流体中的溶解度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[J]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．化工学报，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1995(3)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：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317~323.</w:t>
      </w:r>
    </w:p>
    <w:p w14:paraId="733DE597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[2] Dobbs J M, Wong J M. Modification of Supercritical Fluid Phasebehavior Using Polor Coselvent [J]. Ind Eng Chem Res, 1987, 26: 56.</w:t>
      </w:r>
    </w:p>
    <w:p w14:paraId="4D4E69F1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1F906171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2.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专著：著者．书名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[M]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．版本．出版地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出版者，出版年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起止页码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68F3A6B5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45F5E3F2">
      <w:pPr>
        <w:widowControl w:val="0"/>
        <w:spacing w:before="0" w:beforeAutospacing="0" w:after="0" w:afterAutospacing="0"/>
        <w:ind w:left="0" w:right="0" w:firstLine="210" w:firstLineChars="10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[1]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蒋挺大．亮聚糖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[M]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"http://baike.baidu.com/view/2621.htm" \t "C:\\Documents%20and%20Settings\\Administrator\\桌面\\中国市政工程杂志社\\_blank" </w:instrTex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北京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"http://baike.baidu.com/view/156076.htm"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化学工业出版社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，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2001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：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127 </w:t>
      </w:r>
    </w:p>
    <w:p w14:paraId="7E4297F2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　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[2] Kortun G. Reflectance Spectroscopy [M]. New York: Spring-Verlag, 1969 </w:t>
      </w:r>
    </w:p>
    <w:p w14:paraId="17959B76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03606ACC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3.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论文集：著者．题名．编者．论文集名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[C]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．出版地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出版者，出版年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起止页码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4D061FAB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0FABA70B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[1]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"http://baike.baidu.com/view/977599.htm"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郭宏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，王熊，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"http://baike.baidu.com/view/1859813.htm"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刘宗林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．膜分离技术在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"http://baike.baidu.com/view/474198.htm"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大豆分离蛋白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生产中综合利用的研究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[C]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"http://baike.baidu.com/view/1387792.htm" \t "C:\\Documents%20and%20Settings\\Administrator\\桌面\\中国市政工程杂志社\\_blank" </w:instrTex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余立新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．第三届全国膜和膜过程学术报告会议论文集．北京：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"http://baike.baidu.com/view/49510.htm"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高等教育出版社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，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1999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421-425 </w:t>
      </w:r>
    </w:p>
    <w:p w14:paraId="08D22323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[2] Eiben A E, vander Hauw J K. Solving 3-SAT with Adaptive Genetic Algorithms [C]. Proc 4th IEEE Conf Evolutionary Computation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Piscataway: IEEE Press, 1997: 81-86 </w:t>
      </w:r>
    </w:p>
    <w:p w14:paraId="2999893E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1BE0257F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4.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学位论文：著者．题名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[D]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．保存地点．保存单位．年份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0724C5A7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5D6FC9D3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[1]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"http://baike.baidu.com/view/2976406.htm"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陈金梅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．氟石膏生产早强快硬水泥的试验研究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[D]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"http://baike.baidu.com/view/2155.htm" \t "C:\\Documents%20and%20Settings\\Administrator\\桌面\\中国市政工程杂志社\\_blank" </w:instrTex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西安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：西安建筑科学大学，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2000 </w:t>
      </w:r>
    </w:p>
    <w:p w14:paraId="08FEB6D4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[2] Chrisstoffels L A J. Carrier-facilitated Transport as a Mechanistic Tool in Supramolecular Chemistry [D]. The Netherland: Twente University. 1988</w:t>
      </w:r>
    </w:p>
    <w:p w14:paraId="1DECFE59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eastAsia="Times New Roman" w:cs="Calibri"/>
          <w:lang w:val="en-US"/>
        </w:rPr>
      </w:pPr>
    </w:p>
    <w:p w14:paraId="0CA1A3D1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5.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技术标准：编号．标准名称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[S] </w:t>
      </w:r>
    </w:p>
    <w:p w14:paraId="602E0B92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1D29C50C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[1] ISO 1210-1982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，塑料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——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小试样接触火焰法测定塑料燃烧性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[S] </w:t>
      </w:r>
    </w:p>
    <w:p w14:paraId="4AAF69FB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[2] GB 2410-80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，透明塑料透光率及雾度实验方法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[S] </w:t>
      </w:r>
    </w:p>
    <w:p w14:paraId="49D6E780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5F58B1F0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6.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科技报告：著者．题名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[R]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．保存地点．年份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0D0196A0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67E21A6C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[1]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"http://baike.baidu.com/view/293695.htm"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中国机械工程学会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．密相气力输送技术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[R]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．北京：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1996</w:t>
      </w:r>
    </w:p>
    <w:p w14:paraId="6ABBBFD4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7A9627EB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7.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电子文献：著者．题名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电子文献类型标识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/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载体类型标识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．文献出处（出版者或可获得网址），发表或更新日期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/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引用日期（任选）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69D428AB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1A93F6FB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[1]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万锦柔．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"http://baike.baidu.com/view/276283.htm"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中国大学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学报论文文摘（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1983-1993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）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[DB/CD]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．北京：中国百科全书出版社，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1996 </w:t>
      </w:r>
    </w:p>
    <w:p w14:paraId="16572FF2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eastAsia="Times New Roman" w:cs="Calibri"/>
          <w:lang w:val="en-US"/>
        </w:rPr>
      </w:pPr>
    </w:p>
    <w:p w14:paraId="7DA07E54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8.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专著、论文集中的文献：论文著者．论文题名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[A]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．论文集编者（任选）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论文集题名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[C]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．出版地：出版者，出版年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起止页码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10C12DFF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64BE1175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[1]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刘桂腾．单鼓音乐研究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[A]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．田联韬．民族音乐论文集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[C]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．北京：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"http://baike.baidu.com/view/4521108.htm"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中央音乐学院学报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社，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1990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176-77 </w:t>
      </w:r>
    </w:p>
    <w:p w14:paraId="742B767B">
      <w:pPr>
        <w:widowControl w:val="0"/>
        <w:spacing w:before="0" w:beforeAutospacing="0" w:after="0" w:afterAutospacing="0"/>
        <w:ind w:left="0" w:right="0"/>
        <w:jc w:val="both"/>
        <w:rPr>
          <w:rFonts w:cs="Calibri"/>
          <w:lang w:val="en-US"/>
        </w:rPr>
      </w:pPr>
    </w:p>
    <w:p w14:paraId="4B79552C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 xml:space="preserve">9.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其他未说明的文献类型：著者．题名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[Z]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．出版地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出版者，出版年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lang w:val="en-US" w:eastAsia="zh-CN" w:bidi="ar-SA"/>
        </w:rPr>
        <w:t>∶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起止页码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</w:p>
    <w:p w14:paraId="33E63E76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例如：</w:t>
      </w:r>
    </w:p>
    <w:p w14:paraId="1A23C3DF">
      <w:pPr>
        <w:widowControl w:val="0"/>
        <w:spacing w:before="0" w:beforeAutospacing="0" w:after="0" w:afterAutospacing="0"/>
        <w:ind w:left="0" w:right="0" w:firstLine="105" w:firstLineChars="50"/>
        <w:jc w:val="both"/>
        <w:rPr>
          <w:rFonts w:cs="Calibri"/>
          <w:lang w:val="en-US"/>
        </w:rPr>
      </w:pP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[1]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"http://baike.baidu.com/view/2077489.htm"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温廷宽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"http://baike.baidu.com/view/1277532.htm"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王鲁豫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．古代艺术辞典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[Z]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．北京：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instrText xml:space="preserve"> HYPERLINK "http://baike.baidu.com/view/3461911.htm" \t "C:\\Documents%20and%20Settings\\Administrator\\桌面\\中国市政工程杂志社\\_blank"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Style w:val="6"/>
          <w:rFonts w:hint="eastAsia" w:ascii="Calibri" w:hAnsi="Calibri" w:eastAsia="宋体" w:cs="宋体"/>
          <w:u w:val="single"/>
          <w:lang w:val="en-US"/>
        </w:rPr>
        <w:t>中国国际广播出版社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，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1989</w:t>
      </w:r>
    </w:p>
    <w:p w14:paraId="36025E24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49858CD0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【外文文献】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引文及参考文献中的论文排序方式和中文文献基本相同；书名及刊名用斜体字，期刊文章题名用双引号；是否列出文献类型标识号及著作页码（论文必须列出首尾页码）可任选；出版年份一律列于句尾或页码之前（不用年份排序法）。外文文献一定要用外文原文表述（也可在原文题名之后的括号内附上中文译文），切忌仅用中文表达外文原义。</w:t>
      </w:r>
    </w:p>
    <w:p w14:paraId="4BE9714A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lang w:val="en-US"/>
        </w:rPr>
      </w:pPr>
    </w:p>
    <w:p w14:paraId="78D5B9A1">
      <w:pPr>
        <w:widowControl w:val="0"/>
        <w:spacing w:before="0" w:beforeAutospacing="0" w:after="0" w:afterAutospacing="0"/>
        <w:ind w:left="0" w:right="0"/>
        <w:jc w:val="both"/>
        <w:rPr>
          <w:b/>
          <w:lang w:val="en-US"/>
        </w:rPr>
      </w:pPr>
    </w:p>
    <w:p w14:paraId="702A3CE8">
      <w:pPr>
        <w:widowControl w:val="0"/>
        <w:spacing w:before="0" w:beforeAutospacing="0" w:after="0" w:afterAutospacing="0"/>
        <w:ind w:left="0" w:right="0"/>
        <w:jc w:val="both"/>
        <w:rPr>
          <w:rFonts w:eastAsia="Times New Roman" w:cs="Calibri"/>
          <w:b/>
          <w:lang w:val="en-US"/>
        </w:rPr>
      </w:pPr>
      <w:r>
        <w:rPr>
          <w:rFonts w:hint="eastAsia" w:ascii="Times New Roman" w:hAnsi="Times New Roman" w:cs="宋体"/>
          <w:b/>
          <w:color w:val="auto"/>
          <w:kern w:val="2"/>
          <w:sz w:val="21"/>
          <w:szCs w:val="20"/>
          <w:lang w:val="en-US" w:eastAsia="zh-CN" w:bidi="ar-SA"/>
        </w:rPr>
        <w:t>5</w:t>
      </w:r>
      <w:r>
        <w:rPr>
          <w:rFonts w:hint="eastAsia" w:ascii="Times New Roman" w:hAnsi="Times New Roman" w:eastAsia="宋体" w:cs="宋体"/>
          <w:b/>
          <w:color w:val="auto"/>
          <w:kern w:val="2"/>
          <w:sz w:val="21"/>
          <w:szCs w:val="20"/>
          <w:lang w:val="en-US" w:eastAsia="zh-CN" w:bidi="ar-SA"/>
        </w:rPr>
        <w:t>附加内容：</w:t>
      </w:r>
    </w:p>
    <w:p w14:paraId="42E4661B">
      <w:pPr>
        <w:widowControl w:val="0"/>
        <w:spacing w:before="0" w:beforeAutospacing="0" w:after="0" w:afterAutospacing="0" w:line="480" w:lineRule="auto"/>
        <w:ind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1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、第一作者简介：姓名，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出生年月，性别，籍贯，学历，职称，研究方向（或主要从事的工作）；邮箱；电话；</w:t>
      </w:r>
    </w:p>
    <w:p w14:paraId="375D735C">
      <w:pPr>
        <w:widowControl w:val="0"/>
        <w:spacing w:before="0" w:beforeAutospacing="0" w:after="0" w:afterAutospacing="0" w:line="480" w:lineRule="auto"/>
        <w:ind w:right="0"/>
        <w:jc w:val="both"/>
        <w:rPr>
          <w:rFonts w:eastAsia="Times New Roman" w:cs="Calibri"/>
          <w:lang w:val="en-US"/>
        </w:rPr>
      </w:pPr>
      <w:r>
        <w:rPr>
          <w:rFonts w:hint="eastAsia" w:ascii="Times New Roman" w:hAnsi="Times New Roman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2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、第一作者联系方式</w:t>
      </w:r>
      <w:r>
        <w:rPr>
          <w:rFonts w:hint="eastAsia" w:ascii="Times New Roman" w:hAnsi="Times New Roman" w:cs="宋体"/>
          <w:color w:val="auto"/>
          <w:kern w:val="2"/>
          <w:sz w:val="21"/>
          <w:szCs w:val="20"/>
          <w:lang w:val="en-US" w:eastAsia="zh-CN" w:bidi="ar-SA"/>
        </w:rPr>
        <w:t>（或通讯作者）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：①姓名，②电话，③邮箱，④通信地址；</w:t>
      </w:r>
    </w:p>
    <w:p w14:paraId="567BEF73">
      <w:pPr>
        <w:widowControl w:val="0"/>
        <w:spacing w:before="0" w:beforeAutospacing="0" w:after="0" w:afterAutospacing="0" w:line="480" w:lineRule="auto"/>
        <w:ind w:right="0"/>
        <w:jc w:val="both"/>
        <w:rPr>
          <w:rFonts w:hint="eastAsia" w:ascii="仿宋_GB2312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cs="Calibri"/>
          <w:color w:val="auto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Calibri"/>
          <w:color w:val="auto"/>
          <w:kern w:val="2"/>
          <w:sz w:val="21"/>
          <w:szCs w:val="20"/>
          <w:lang w:val="en-US" w:eastAsia="zh-CN" w:bidi="ar-SA"/>
        </w:rPr>
        <w:t>3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、基金情况：基金或项目</w:t>
      </w:r>
      <w:r>
        <w:rPr>
          <w:rFonts w:hint="eastAsia" w:ascii="Times New Roman" w:hAnsi="Times New Roman" w:cs="宋体"/>
          <w:color w:val="auto"/>
          <w:kern w:val="2"/>
          <w:sz w:val="21"/>
          <w:szCs w:val="20"/>
          <w:lang w:val="en-US" w:eastAsia="zh-CN" w:bidi="ar-SA"/>
        </w:rPr>
        <w:t>的</w:t>
      </w:r>
      <w:r>
        <w:rPr>
          <w:rFonts w:hint="eastAsia" w:ascii="Times New Roman" w:hAnsi="Times New Roman" w:eastAsia="宋体" w:cs="宋体"/>
          <w:color w:val="auto"/>
          <w:kern w:val="2"/>
          <w:sz w:val="21"/>
          <w:szCs w:val="20"/>
          <w:lang w:val="en-US" w:eastAsia="zh-CN" w:bidi="ar-SA"/>
        </w:rPr>
        <w:t>名称、编号。</w:t>
      </w:r>
    </w:p>
    <w:p w14:paraId="78D607BB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</w:p>
    <w:p w14:paraId="2D0C64B2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</w:p>
    <w:p w14:paraId="55FC17B0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</w:p>
    <w:p w14:paraId="24BE4B51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</w:p>
    <w:p w14:paraId="1CF42886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</w:p>
    <w:p w14:paraId="3F6AA0BE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</w:p>
    <w:p w14:paraId="47009A37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</w:p>
    <w:p w14:paraId="1A13C20D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</w:p>
    <w:p w14:paraId="228F23D4">
      <w:pPr>
        <w:spacing w:line="360" w:lineRule="auto"/>
        <w:rPr>
          <w:rFonts w:hint="eastAsia" w:ascii="仿宋_GB2312" w:hAnsi="Times New Roman" w:eastAsia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sz w:val="28"/>
          <w:szCs w:val="28"/>
        </w:rPr>
        <w:t>公开方式：主动公开</w:t>
      </w:r>
    </w:p>
    <w:tbl>
      <w:tblPr>
        <w:tblStyle w:val="4"/>
        <w:tblW w:w="8883" w:type="dxa"/>
        <w:tblInd w:w="127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 w14:paraId="64158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83" w:type="dxa"/>
            <w:tcBorders>
              <w:top w:val="single" w:color="auto" w:sz="18" w:space="0"/>
              <w:bottom w:val="single" w:color="auto" w:sz="18" w:space="0"/>
            </w:tcBorders>
            <w:vAlign w:val="top"/>
          </w:tcPr>
          <w:p w14:paraId="7D8DBE4E">
            <w:pPr>
              <w:spacing w:line="360" w:lineRule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中国测绘学会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地下管线专业委员会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日印发</w:t>
            </w:r>
          </w:p>
        </w:tc>
      </w:tr>
    </w:tbl>
    <w:p w14:paraId="5C7FF8B2"/>
    <w:sectPr>
      <w:pgSz w:w="11906" w:h="16838"/>
      <w:pgMar w:top="1418" w:right="1418" w:bottom="1418" w:left="1418" w:header="99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84173-4C90-47DD-9E4B-B5DE2DE62F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C6554E-AF19-4343-B6EC-C2CFE90C8C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557F1E-7371-4BB9-84ED-5BE46A1E6FF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347970-2F75-42A8-BD52-8BD0EB6137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912F306-CFD1-4FFD-9611-3EA91AB57575}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  <w:embedRegular r:id="rId6" w:fontKey="{358F570B-7366-485F-82CA-4F0BE8FFFB1D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3FC775E3-2647-490C-AEA9-142440983EE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BA29B2C9">
    <w:panose1 w:val="020B0503020000020004"/>
    <w:charset w:val="81"/>
    <w:family w:val="auto"/>
    <w:pitch w:val="default"/>
    <w:sig w:usb0="00000001" w:usb1="00000000" w:usb2="00000000" w:usb3="00000000" w:csb0="0008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F6FA"/>
    <w:multiLevelType w:val="multilevel"/>
    <w:tmpl w:val="6685F6FA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eastAsia="宋体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eastAsia="宋体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eastAsia="宋体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eastAsia="宋体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eastAsia="宋体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eastAsia="宋体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eastAsia="宋体" w:cs="Times New Roman"/>
      </w:rPr>
    </w:lvl>
  </w:abstractNum>
  <w:abstractNum w:abstractNumId="1">
    <w:nsid w:val="6685F705"/>
    <w:multiLevelType w:val="multilevel"/>
    <w:tmpl w:val="6685F705"/>
    <w:lvl w:ilvl="0" w:tentative="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eastAsia="宋体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eastAsia="宋体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eastAsia="宋体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eastAsia="宋体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eastAsia="宋体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eastAsia="宋体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eastAsia="宋体"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00446"/>
    <w:rsid w:val="286D3182"/>
    <w:rsid w:val="43B7401F"/>
    <w:rsid w:val="740F1475"/>
    <w:rsid w:val="7B856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2087</Words>
  <Characters>2251</Characters>
  <Lines>1</Lines>
  <Paragraphs>1</Paragraphs>
  <TotalTime>10</TotalTime>
  <ScaleCrop>false</ScaleCrop>
  <LinksUpToDate>false</LinksUpToDate>
  <CharactersWithSpaces>2426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2025-06-19T06:24:00Z</dcterms:created>
  <dc:creator>Administrator</dc:creator>
  <cp:lastModifiedBy>张永超</cp:lastModifiedBy>
  <dcterms:modified xsi:type="dcterms:W3CDTF">2026-07-24T06:10:52Z</dcterms:modified>
  <dc:title>中国测绘学会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eyJoZGlkIjoiNmE2YmVmN2E3YjcyNGI2NjVlZmYxMjNhZjZhODEzNmEiLCJ1c2VySWQiOiI0ODA1MTQ3MDUifQ==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84ED3DE0EEA447C28E4003CE0D9DCEDB_13</vt:lpwstr>
  </property>
</Properties>
</file>